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Lijsttabel6kleurrijk"/>
        <w:tblW w:w="0" w:type="auto"/>
        <w:tblLook w:val="04A0" w:firstRow="1" w:lastRow="0" w:firstColumn="1" w:lastColumn="0" w:noHBand="0" w:noVBand="1"/>
      </w:tblPr>
      <w:tblGrid>
        <w:gridCol w:w="2923"/>
        <w:gridCol w:w="281"/>
        <w:gridCol w:w="1823"/>
        <w:gridCol w:w="1795"/>
        <w:gridCol w:w="1795"/>
        <w:gridCol w:w="1795"/>
        <w:gridCol w:w="1795"/>
        <w:gridCol w:w="1795"/>
      </w:tblGrid>
      <w:tr w:rsidR="002E02D2" w:rsidRPr="00E753EE" w:rsidTr="00C719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02" w:type="dxa"/>
            <w:gridSpan w:val="8"/>
          </w:tcPr>
          <w:p w:rsidR="002E02D2" w:rsidRDefault="002E02D2" w:rsidP="00E753EE">
            <w:pPr>
              <w:rPr>
                <w:lang w:val="en-US"/>
              </w:rPr>
            </w:pPr>
            <w:r>
              <w:rPr>
                <w:lang w:val="en-US"/>
              </w:rPr>
              <w:t xml:space="preserve">Table 2 </w:t>
            </w:r>
            <w:r w:rsidR="00E753EE">
              <w:rPr>
                <w:b w:val="0"/>
                <w:lang w:val="en-US"/>
              </w:rPr>
              <w:t>Threshold probability, s</w:t>
            </w:r>
            <w:r w:rsidRPr="005E0A06">
              <w:rPr>
                <w:b w:val="0"/>
                <w:lang w:val="en-US"/>
              </w:rPr>
              <w:t xml:space="preserve">ample size, </w:t>
            </w:r>
            <w:bookmarkStart w:id="0" w:name="_GoBack"/>
            <w:bookmarkEnd w:id="0"/>
            <w:r w:rsidRPr="005E0A06">
              <w:rPr>
                <w:b w:val="0"/>
                <w:lang w:val="en-US"/>
              </w:rPr>
              <w:t>number of events and performance [95% CI]</w:t>
            </w:r>
            <w:r w:rsidRPr="005E0A06">
              <w:rPr>
                <w:b w:val="0"/>
                <w:vertAlign w:val="superscript"/>
                <w:lang w:val="en-US"/>
              </w:rPr>
              <w:t>a</w:t>
            </w:r>
            <w:r w:rsidRPr="005E0A06">
              <w:rPr>
                <w:b w:val="0"/>
                <w:lang w:val="en-US"/>
              </w:rPr>
              <w:t xml:space="preserve"> of the ARC predictor, the ARC score and the ARCTIC score in the internal validation set and the validation cohort.</w:t>
            </w:r>
          </w:p>
        </w:tc>
      </w:tr>
      <w:tr w:rsidR="002E02D2" w:rsidTr="00C71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3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rPr>
                <w:lang w:val="en-US"/>
              </w:rPr>
            </w:pPr>
          </w:p>
        </w:tc>
        <w:tc>
          <w:tcPr>
            <w:tcW w:w="281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2A27A0">
              <w:rPr>
                <w:b/>
                <w:lang w:val="en-US"/>
              </w:rPr>
              <w:t>Internal validation set</w:t>
            </w:r>
          </w:p>
        </w:tc>
        <w:tc>
          <w:tcPr>
            <w:tcW w:w="8975" w:type="dxa"/>
            <w:gridSpan w:val="5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2A27A0">
              <w:rPr>
                <w:b/>
                <w:lang w:val="en-US"/>
              </w:rPr>
              <w:t xml:space="preserve">Validation </w:t>
            </w:r>
            <w:r>
              <w:rPr>
                <w:b/>
                <w:lang w:val="en-US"/>
              </w:rPr>
              <w:t>cohort</w:t>
            </w:r>
          </w:p>
        </w:tc>
      </w:tr>
      <w:tr w:rsidR="002E02D2" w:rsidTr="00C719B0">
        <w:trPr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3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rPr>
                <w:lang w:val="en-US"/>
              </w:rPr>
            </w:pPr>
          </w:p>
        </w:tc>
        <w:tc>
          <w:tcPr>
            <w:tcW w:w="281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All</w:t>
            </w:r>
          </w:p>
        </w:tc>
        <w:tc>
          <w:tcPr>
            <w:tcW w:w="3590" w:type="dxa"/>
            <w:gridSpan w:val="2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Subset ARC </w:t>
            </w:r>
            <w:proofErr w:type="spellStart"/>
            <w:r>
              <w:rPr>
                <w:lang w:val="en-US"/>
              </w:rPr>
              <w:t>score</w:t>
            </w:r>
            <w:r>
              <w:rPr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3590" w:type="dxa"/>
            <w:gridSpan w:val="2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Subset ARCTIC </w:t>
            </w:r>
            <w:proofErr w:type="spellStart"/>
            <w:r>
              <w:rPr>
                <w:lang w:val="en-US"/>
              </w:rPr>
              <w:t>score</w:t>
            </w:r>
            <w:r>
              <w:rPr>
                <w:vertAlign w:val="superscript"/>
                <w:lang w:val="en-US"/>
              </w:rPr>
              <w:t>c</w:t>
            </w:r>
            <w:proofErr w:type="spellEnd"/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All</w:t>
            </w:r>
          </w:p>
        </w:tc>
      </w:tr>
      <w:tr w:rsidR="002E02D2" w:rsidTr="00C71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3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rPr>
                <w:lang w:val="en-US"/>
              </w:rPr>
            </w:pPr>
          </w:p>
        </w:tc>
        <w:tc>
          <w:tcPr>
            <w:tcW w:w="281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ARC predictor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ARC predictor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ARC score </w:t>
            </w:r>
            <w:r>
              <w:rPr>
                <w:lang w:val="en-US"/>
              </w:rPr>
              <w:fldChar w:fldCharType="begin"/>
            </w:r>
            <w:r>
              <w:rPr>
                <w:lang w:val="en-US"/>
              </w:rPr>
              <w:instrText xml:space="preserve"> ADDIN EN.CITE &lt;EndNote&gt;&lt;Cite&gt;&lt;Author&gt;Udy&lt;/Author&gt;&lt;Year&gt;2013&lt;/Year&gt;&lt;RecNum&gt;161&lt;/RecNum&gt;&lt;IDText&gt;Augmented renal clearance in septic and traumatized patients with normal plasma creatinine concentrations: identifying at-risk patients&lt;/IDText&gt;&lt;DisplayText&gt;(22)&lt;/DisplayText&gt;&lt;record&gt;&lt;rec-number&gt;161&lt;/rec-number&gt;&lt;foreign-keys&gt;&lt;key app="EN" db-id="9ttdd2s0patf5te5vr8vvrzv09wawf095rff" timestamp="1564584478"&gt;161&lt;/key&gt;&lt;/foreign-keys&gt;&lt;ref-type name="Journal Article"&gt;17&lt;/ref-type&gt;&lt;contributors&gt;&lt;authors&gt;&lt;author&gt;Udy, A. A.&lt;/author&gt;&lt;author&gt;Roberts, J. A.&lt;/author&gt;&lt;author&gt;Shorr, A. F.&lt;/author&gt;&lt;author&gt;Boots, R. J.&lt;/author&gt;&lt;author&gt;Lipman, J.&lt;/author&gt;&lt;/authors&gt;&lt;/contributors&gt;&lt;auth-address&gt;Burns, Trauma, and Critical Care Research Centre, University of Queensland, Royal Brisbane and Womens Hospital, Butterfield Street, Herston 4029, Australia. andrew_udy@health.qld.gov.au.&lt;/auth-address&gt;&lt;titles&gt;&lt;title&gt;Augmented renal clearance in septic and traumatized patients with normal plasma creatinine concentrations: identifying at-risk patients&lt;/title&gt;&lt;secondary-title&gt;Crit Care&lt;/secondary-title&gt;&lt;alt-title&gt;Critical care (London, England)&lt;/alt-title&gt;&lt;/titles&gt;&lt;periodical&gt;&lt;full-title&gt;Crit Care&lt;/full-title&gt;&lt;abbr-1&gt;Critical care (London, England)&lt;/abbr-1&gt;&lt;/periodical&gt;&lt;alt-periodical&gt;&lt;full-title&gt;Crit Care&lt;/full-title&gt;&lt;abbr-1&gt;Critical care (London, England)&lt;/abbr-1&gt;&lt;/alt-periodical&gt;&lt;pages&gt;R35&lt;/pages&gt;&lt;volume&gt;17&lt;/volume&gt;&lt;number&gt;1&lt;/number&gt;&lt;edition&gt;2013/03/02&lt;/edition&gt;&lt;dates&gt;&lt;year&gt;2013&lt;/year&gt;&lt;pub-dates&gt;&lt;date&gt;Feb 28&lt;/date&gt;&lt;/pub-dates&gt;&lt;/dates&gt;&lt;isbn&gt;1364-8535&lt;/isbn&gt;&lt;accession-num&gt;23448570&lt;/accession-num&gt;&lt;urls&gt;&lt;/urls&gt;&lt;electronic-resource-num&gt;10.1186/cc12544&lt;/electronic-resource-num&gt;&lt;remote-database-provider&gt;NLM&lt;/remote-database-provider&gt;&lt;language&gt;Eng&lt;/language&gt;&lt;/record&gt;&lt;/Cite&gt;&lt;/EndNote&gt;</w:instrText>
            </w:r>
            <w:r>
              <w:rPr>
                <w:lang w:val="en-US"/>
              </w:rPr>
              <w:fldChar w:fldCharType="separate"/>
            </w:r>
            <w:r>
              <w:rPr>
                <w:noProof/>
                <w:lang w:val="en-US"/>
              </w:rPr>
              <w:t>(22)</w:t>
            </w:r>
            <w:r>
              <w:rPr>
                <w:lang w:val="en-US"/>
              </w:rPr>
              <w:fldChar w:fldCharType="end"/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Pr="000130A7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0130A7">
              <w:rPr>
                <w:lang w:val="en-US"/>
              </w:rPr>
              <w:t>ARC predictor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Pr="000130A7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0130A7">
              <w:rPr>
                <w:lang w:val="en-US"/>
              </w:rPr>
              <w:t xml:space="preserve">ARCTIC score </w:t>
            </w:r>
            <w:r w:rsidRPr="000130A7">
              <w:rPr>
                <w:lang w:val="en-US"/>
              </w:rPr>
              <w:fldChar w:fldCharType="begin">
                <w:fldData xml:space="preserve">PEVuZE5vdGU+PENpdGU+PEF1dGhvcj5CYXJsZXR0YTwvQXV0aG9yPjxZZWFyPjIwMTc8L1llYXI+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</w:fldData>
              </w:fldChar>
            </w:r>
            <w:r>
              <w:rPr>
                <w:lang w:val="en-US"/>
              </w:rPr>
              <w:instrText xml:space="preserve"> ADDIN EN.CITE </w:instrText>
            </w:r>
            <w:r>
              <w:rPr>
                <w:lang w:val="en-US"/>
              </w:rPr>
              <w:fldChar w:fldCharType="begin">
                <w:fldData xml:space="preserve">PEVuZE5vdGU+PENpdGU+PEF1dGhvcj5CYXJsZXR0YTwvQXV0aG9yPjxZZWFyPjIwMTc8L1llYXI+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</w:fldData>
              </w:fldChar>
            </w:r>
            <w:r>
              <w:rPr>
                <w:lang w:val="en-US"/>
              </w:rPr>
              <w:instrText xml:space="preserve"> ADDIN EN.CITE.DATA </w:instrText>
            </w:r>
            <w:r>
              <w:rPr>
                <w:lang w:val="en-US"/>
              </w:rPr>
            </w:r>
            <w:r>
              <w:rPr>
                <w:lang w:val="en-US"/>
              </w:rPr>
              <w:fldChar w:fldCharType="end"/>
            </w:r>
            <w:r w:rsidRPr="000130A7">
              <w:rPr>
                <w:lang w:val="en-US"/>
              </w:rPr>
            </w:r>
            <w:r w:rsidRPr="000130A7">
              <w:rPr>
                <w:lang w:val="en-US"/>
              </w:rPr>
              <w:fldChar w:fldCharType="separate"/>
            </w:r>
            <w:r>
              <w:rPr>
                <w:noProof/>
                <w:lang w:val="en-US"/>
              </w:rPr>
              <w:t>(16)</w:t>
            </w:r>
            <w:r w:rsidRPr="000130A7">
              <w:rPr>
                <w:lang w:val="en-US"/>
              </w:rPr>
              <w:fldChar w:fldCharType="end"/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Pr="000130A7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0130A7">
              <w:rPr>
                <w:lang w:val="en-US"/>
              </w:rPr>
              <w:t>ARC predictor</w:t>
            </w:r>
          </w:p>
        </w:tc>
      </w:tr>
      <w:tr w:rsidR="000C4EB4" w:rsidTr="00C719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3" w:type="dxa"/>
            <w:tcBorders>
              <w:top w:val="nil"/>
              <w:bottom w:val="nil"/>
            </w:tcBorders>
          </w:tcPr>
          <w:p w:rsidR="000C4EB4" w:rsidRDefault="000C4EB4" w:rsidP="000C4EB4">
            <w:pPr>
              <w:rPr>
                <w:lang w:val="en-US"/>
              </w:rPr>
            </w:pPr>
            <w:r>
              <w:rPr>
                <w:lang w:val="en-US"/>
              </w:rPr>
              <w:t>Threshold probability</w:t>
            </w:r>
          </w:p>
        </w:tc>
        <w:tc>
          <w:tcPr>
            <w:tcW w:w="281" w:type="dxa"/>
            <w:tcBorders>
              <w:top w:val="nil"/>
              <w:bottom w:val="nil"/>
            </w:tcBorders>
          </w:tcPr>
          <w:p w:rsidR="000C4EB4" w:rsidRDefault="000C4EB4" w:rsidP="00C71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0C4EB4" w:rsidRPr="000C4EB4" w:rsidRDefault="000C4EB4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vertAlign w:val="superscript"/>
                <w:lang w:val="en-US"/>
              </w:rPr>
            </w:pPr>
            <w:r>
              <w:rPr>
                <w:lang w:val="en-US"/>
              </w:rPr>
              <w:t>0.2</w:t>
            </w:r>
            <w:r>
              <w:rPr>
                <w:vertAlign w:val="superscript"/>
                <w:lang w:val="en-US"/>
              </w:rPr>
              <w:t>d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0C4EB4" w:rsidRDefault="000C4EB4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0.2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0C4EB4" w:rsidRPr="000C4EB4" w:rsidRDefault="000C4EB4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vertAlign w:val="superscript"/>
                <w:lang w:val="en-US"/>
              </w:rPr>
            </w:pPr>
            <w:proofErr w:type="spellStart"/>
            <w:r>
              <w:rPr>
                <w:lang w:val="en-US"/>
              </w:rPr>
              <w:t>NA</w:t>
            </w:r>
            <w:r>
              <w:rPr>
                <w:vertAlign w:val="superscript"/>
                <w:lang w:val="en-US"/>
              </w:rPr>
              <w:t>e</w:t>
            </w:r>
            <w:proofErr w:type="spellEnd"/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0C4EB4" w:rsidRPr="000130A7" w:rsidRDefault="000C4EB4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0.2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0C4EB4" w:rsidRPr="000C4EB4" w:rsidRDefault="000C4EB4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vertAlign w:val="superscript"/>
                <w:lang w:val="en-US"/>
              </w:rPr>
            </w:pPr>
            <w:proofErr w:type="spellStart"/>
            <w:r>
              <w:rPr>
                <w:lang w:val="en-US"/>
              </w:rPr>
              <w:t>NA</w:t>
            </w:r>
            <w:r>
              <w:rPr>
                <w:vertAlign w:val="superscript"/>
                <w:lang w:val="en-US"/>
              </w:rPr>
              <w:t>f</w:t>
            </w:r>
            <w:proofErr w:type="spellEnd"/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0C4EB4" w:rsidRPr="000130A7" w:rsidRDefault="000C4EB4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0.2</w:t>
            </w:r>
          </w:p>
        </w:tc>
      </w:tr>
      <w:tr w:rsidR="002E02D2" w:rsidTr="00C71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3" w:type="dxa"/>
            <w:tcBorders>
              <w:top w:val="nil"/>
              <w:bottom w:val="nil"/>
            </w:tcBorders>
          </w:tcPr>
          <w:p w:rsidR="002E02D2" w:rsidRPr="00935D00" w:rsidRDefault="002E02D2" w:rsidP="00C719B0">
            <w:pPr>
              <w:rPr>
                <w:b w:val="0"/>
                <w:lang w:val="en-US"/>
              </w:rPr>
            </w:pPr>
            <w:r>
              <w:rPr>
                <w:lang w:val="en-US"/>
              </w:rPr>
              <w:t>N</w:t>
            </w:r>
          </w:p>
        </w:tc>
        <w:tc>
          <w:tcPr>
            <w:tcW w:w="281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6651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9682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9682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569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569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10259</w:t>
            </w:r>
          </w:p>
        </w:tc>
      </w:tr>
      <w:tr w:rsidR="002E02D2" w:rsidTr="00C719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3" w:type="dxa"/>
            <w:tcBorders>
              <w:top w:val="nil"/>
              <w:bottom w:val="nil"/>
            </w:tcBorders>
          </w:tcPr>
          <w:p w:rsidR="002E02D2" w:rsidRPr="00935D00" w:rsidRDefault="002E02D2" w:rsidP="00C719B0">
            <w:pPr>
              <w:rPr>
                <w:b w:val="0"/>
                <w:lang w:val="en-US"/>
              </w:rPr>
            </w:pPr>
            <w:r>
              <w:rPr>
                <w:lang w:val="en-US"/>
              </w:rPr>
              <w:t>Number of events</w:t>
            </w:r>
          </w:p>
        </w:tc>
        <w:tc>
          <w:tcPr>
            <w:tcW w:w="281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1314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1915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1915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270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270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1986</w:t>
            </w:r>
          </w:p>
        </w:tc>
      </w:tr>
      <w:tr w:rsidR="002E02D2" w:rsidTr="00C71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3" w:type="dxa"/>
            <w:tcBorders>
              <w:top w:val="nil"/>
              <w:bottom w:val="nil"/>
            </w:tcBorders>
          </w:tcPr>
          <w:p w:rsidR="002E02D2" w:rsidRPr="00935D00" w:rsidRDefault="002E02D2" w:rsidP="00C719B0">
            <w:pPr>
              <w:rPr>
                <w:b w:val="0"/>
                <w:lang w:val="en-US"/>
              </w:rPr>
            </w:pPr>
            <w:r>
              <w:rPr>
                <w:lang w:val="en-US"/>
              </w:rPr>
              <w:t>AUROC</w:t>
            </w:r>
          </w:p>
        </w:tc>
        <w:tc>
          <w:tcPr>
            <w:tcW w:w="281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0.89 [0.89;0.9]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0.88 [0.87;0.88]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0.75 [0.74;0.76]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0.88 [0.86;0.9]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0.85 [0.83;0.87]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0.88 </w:t>
            </w:r>
            <w:r>
              <w:t>[0.87;0.88]</w:t>
            </w:r>
          </w:p>
        </w:tc>
      </w:tr>
      <w:tr w:rsidR="002E02D2" w:rsidTr="00C719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3" w:type="dxa"/>
            <w:tcBorders>
              <w:top w:val="nil"/>
              <w:bottom w:val="nil"/>
            </w:tcBorders>
          </w:tcPr>
          <w:p w:rsidR="002E02D2" w:rsidRPr="00935D00" w:rsidRDefault="002E02D2" w:rsidP="00C719B0">
            <w:pPr>
              <w:rPr>
                <w:b w:val="0"/>
                <w:lang w:val="en-US"/>
              </w:rPr>
            </w:pPr>
            <w:r>
              <w:rPr>
                <w:lang w:val="en-US"/>
              </w:rPr>
              <w:t>Sensitivity (%)</w:t>
            </w:r>
          </w:p>
        </w:tc>
        <w:tc>
          <w:tcPr>
            <w:tcW w:w="281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87.9 [86.1;89.7]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84.7 [83.1;86.3]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30.9 [28.7;32.9]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92.8 [90.3;94.9]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88.6 [85.6;91.4]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84.1 </w:t>
            </w:r>
            <w:r>
              <w:t>[82.5;85.7]</w:t>
            </w:r>
          </w:p>
        </w:tc>
      </w:tr>
      <w:tr w:rsidR="002E02D2" w:rsidTr="00C71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3" w:type="dxa"/>
            <w:tcBorders>
              <w:top w:val="nil"/>
              <w:bottom w:val="nil"/>
            </w:tcBorders>
          </w:tcPr>
          <w:p w:rsidR="002E02D2" w:rsidRPr="00935D00" w:rsidRDefault="002E02D2" w:rsidP="00C719B0">
            <w:pPr>
              <w:rPr>
                <w:b w:val="0"/>
                <w:lang w:val="en-US"/>
              </w:rPr>
            </w:pPr>
            <w:r>
              <w:rPr>
                <w:lang w:val="en-US"/>
              </w:rPr>
              <w:t>Specificity (%)</w:t>
            </w:r>
          </w:p>
        </w:tc>
        <w:tc>
          <w:tcPr>
            <w:tcW w:w="281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76.9 [75.7;78]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75.5 [74.6;76.5]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94.1 [93.6;94.6]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60.1 [56.6;63.8]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72.6 [69.4;75.6]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76.3 [75.4;77.2]</w:t>
            </w:r>
          </w:p>
        </w:tc>
      </w:tr>
      <w:tr w:rsidR="002E02D2" w:rsidTr="00C719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3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rPr>
                <w:b w:val="0"/>
                <w:lang w:val="en-US"/>
              </w:rPr>
            </w:pPr>
            <w:r>
              <w:rPr>
                <w:lang w:val="en-US"/>
              </w:rPr>
              <w:t>Positive predictive value (%)</w:t>
            </w:r>
          </w:p>
        </w:tc>
        <w:tc>
          <w:tcPr>
            <w:tcW w:w="281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48.3 [46.4;50.4]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46 [44.4;47.7]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56.2 [53.3;59.1]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60.7 [57.1;64.2]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68.2 [64.5;71.7]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46 [44.4;47.7]</w:t>
            </w:r>
          </w:p>
        </w:tc>
      </w:tr>
      <w:tr w:rsidR="002E02D2" w:rsidTr="00C71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3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rPr>
                <w:b w:val="0"/>
                <w:lang w:val="en-US"/>
              </w:rPr>
            </w:pPr>
            <w:r>
              <w:rPr>
                <w:lang w:val="en-US"/>
              </w:rPr>
              <w:t>Negative predictive value (%)</w:t>
            </w:r>
          </w:p>
        </w:tc>
        <w:tc>
          <w:tcPr>
            <w:tcW w:w="281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96.3 [95.7;96.8]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95.2 [94.7;95.8]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84.7 [83.9;85.4]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92.6 [90;94.9]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90.6 [87.9;92.8]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95.2 [94.7;95.7]</w:t>
            </w:r>
          </w:p>
        </w:tc>
      </w:tr>
      <w:tr w:rsidR="002E02D2" w:rsidTr="00C719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3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rPr>
                <w:b w:val="0"/>
                <w:lang w:val="en-US"/>
              </w:rPr>
            </w:pPr>
            <w:r>
              <w:rPr>
                <w:lang w:val="en-US"/>
              </w:rPr>
              <w:t>Positive likelihood ratio</w:t>
            </w:r>
          </w:p>
        </w:tc>
        <w:tc>
          <w:tcPr>
            <w:tcW w:w="281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3.8 [3.6;4.01]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3.46 [3.31;3.61]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5.21 [4.66;5.83]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2.33 [2.13;2.56]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3.24 [2.87;3.68]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3.55 [3.4;3.71]</w:t>
            </w:r>
          </w:p>
        </w:tc>
      </w:tr>
      <w:tr w:rsidR="002E02D2" w:rsidRPr="008E5D31" w:rsidTr="00C71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3" w:type="dxa"/>
            <w:tcBorders>
              <w:top w:val="nil"/>
              <w:bottom w:val="single" w:sz="4" w:space="0" w:color="auto"/>
            </w:tcBorders>
          </w:tcPr>
          <w:p w:rsidR="002E02D2" w:rsidRDefault="002E02D2" w:rsidP="00C719B0">
            <w:pPr>
              <w:rPr>
                <w:b w:val="0"/>
                <w:lang w:val="en-US"/>
              </w:rPr>
            </w:pPr>
            <w:r>
              <w:rPr>
                <w:lang w:val="en-US"/>
              </w:rPr>
              <w:t>Negative likelihood ratio</w:t>
            </w:r>
          </w:p>
        </w:tc>
        <w:tc>
          <w:tcPr>
            <w:tcW w:w="281" w:type="dxa"/>
            <w:tcBorders>
              <w:top w:val="nil"/>
              <w:bottom w:val="single" w:sz="4" w:space="0" w:color="auto"/>
            </w:tcBorders>
          </w:tcPr>
          <w:p w:rsidR="002E02D2" w:rsidRDefault="002E02D2" w:rsidP="00C71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823" w:type="dxa"/>
            <w:tcBorders>
              <w:top w:val="nil"/>
              <w:bottom w:val="single" w:sz="4" w:space="0" w:color="auto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0.16 [0.13;0.18]</w:t>
            </w:r>
          </w:p>
        </w:tc>
        <w:tc>
          <w:tcPr>
            <w:tcW w:w="1795" w:type="dxa"/>
            <w:tcBorders>
              <w:top w:val="nil"/>
              <w:bottom w:val="single" w:sz="4" w:space="0" w:color="auto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0.2 [0.18;0.22]</w:t>
            </w:r>
          </w:p>
        </w:tc>
        <w:tc>
          <w:tcPr>
            <w:tcW w:w="1795" w:type="dxa"/>
            <w:tcBorders>
              <w:top w:val="nil"/>
              <w:bottom w:val="single" w:sz="4" w:space="0" w:color="auto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0.74 [0.71;0.76]</w:t>
            </w:r>
          </w:p>
        </w:tc>
        <w:tc>
          <w:tcPr>
            <w:tcW w:w="1795" w:type="dxa"/>
            <w:tcBorders>
              <w:top w:val="nil"/>
              <w:bottom w:val="single" w:sz="4" w:space="0" w:color="auto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0.12 [0.08;0.16]</w:t>
            </w:r>
          </w:p>
        </w:tc>
        <w:tc>
          <w:tcPr>
            <w:tcW w:w="1795" w:type="dxa"/>
            <w:tcBorders>
              <w:top w:val="nil"/>
              <w:bottom w:val="single" w:sz="4" w:space="0" w:color="auto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0.16 [0.12;0.2]</w:t>
            </w:r>
          </w:p>
        </w:tc>
        <w:tc>
          <w:tcPr>
            <w:tcW w:w="1795" w:type="dxa"/>
            <w:tcBorders>
              <w:top w:val="nil"/>
              <w:bottom w:val="single" w:sz="4" w:space="0" w:color="auto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0.21 [0.19;0.23]</w:t>
            </w:r>
          </w:p>
        </w:tc>
      </w:tr>
    </w:tbl>
    <w:p w:rsidR="002E02D2" w:rsidRPr="000C4EB4" w:rsidRDefault="002E02D2" w:rsidP="002E02D2">
      <w:pPr>
        <w:spacing w:after="0" w:line="240" w:lineRule="auto"/>
        <w:jc w:val="both"/>
        <w:rPr>
          <w:sz w:val="18"/>
          <w:szCs w:val="20"/>
          <w:lang w:val="en-US"/>
        </w:rPr>
      </w:pPr>
      <w:proofErr w:type="spellStart"/>
      <w:r>
        <w:rPr>
          <w:sz w:val="18"/>
          <w:szCs w:val="20"/>
          <w:vertAlign w:val="superscript"/>
          <w:lang w:val="en-US"/>
        </w:rPr>
        <w:t>a</w:t>
      </w:r>
      <w:r w:rsidRPr="009572DC">
        <w:rPr>
          <w:sz w:val="18"/>
          <w:szCs w:val="20"/>
          <w:lang w:val="en-US"/>
        </w:rPr>
        <w:t>Performance</w:t>
      </w:r>
      <w:proofErr w:type="spellEnd"/>
      <w:r w:rsidRPr="009572DC">
        <w:rPr>
          <w:sz w:val="18"/>
          <w:szCs w:val="20"/>
          <w:lang w:val="en-US"/>
        </w:rPr>
        <w:t xml:space="preserve"> using a defa</w:t>
      </w:r>
      <w:r>
        <w:rPr>
          <w:sz w:val="18"/>
          <w:szCs w:val="20"/>
          <w:lang w:val="en-US"/>
        </w:rPr>
        <w:t>ult threshold probability = 0.2</w:t>
      </w:r>
      <w:r w:rsidRPr="009572DC">
        <w:rPr>
          <w:sz w:val="18"/>
          <w:szCs w:val="20"/>
          <w:lang w:val="en-US"/>
        </w:rPr>
        <w:t xml:space="preserve"> with b</w:t>
      </w:r>
      <w:r w:rsidRPr="009572DC">
        <w:rPr>
          <w:sz w:val="18"/>
          <w:lang w:val="en-US"/>
        </w:rPr>
        <w:t>oot</w:t>
      </w:r>
      <w:r>
        <w:rPr>
          <w:sz w:val="18"/>
          <w:lang w:val="en-US"/>
        </w:rPr>
        <w:t>strap 95% confidence intervals (</w:t>
      </w:r>
      <w:r w:rsidRPr="009572DC">
        <w:rPr>
          <w:sz w:val="18"/>
          <w:lang w:val="en-US"/>
        </w:rPr>
        <w:t>2000 replicates</w:t>
      </w:r>
      <w:r>
        <w:rPr>
          <w:sz w:val="18"/>
          <w:lang w:val="en-US"/>
        </w:rPr>
        <w:t>)</w:t>
      </w:r>
      <w:r w:rsidRPr="009572DC">
        <w:rPr>
          <w:sz w:val="18"/>
          <w:szCs w:val="20"/>
          <w:lang w:val="en-US"/>
        </w:rPr>
        <w:t xml:space="preserve">; </w:t>
      </w:r>
      <w:proofErr w:type="spellStart"/>
      <w:r>
        <w:rPr>
          <w:sz w:val="18"/>
          <w:szCs w:val="20"/>
          <w:vertAlign w:val="superscript"/>
          <w:lang w:val="en-US"/>
        </w:rPr>
        <w:t>b</w:t>
      </w:r>
      <w:r>
        <w:rPr>
          <w:sz w:val="18"/>
          <w:szCs w:val="20"/>
          <w:lang w:val="en-US"/>
        </w:rPr>
        <w:t>S</w:t>
      </w:r>
      <w:r w:rsidRPr="009572DC">
        <w:rPr>
          <w:sz w:val="18"/>
          <w:szCs w:val="20"/>
          <w:lang w:val="en-US"/>
        </w:rPr>
        <w:t>ubset</w:t>
      </w:r>
      <w:proofErr w:type="spellEnd"/>
      <w:r w:rsidRPr="009572DC">
        <w:rPr>
          <w:sz w:val="18"/>
          <w:szCs w:val="20"/>
          <w:lang w:val="en-US"/>
        </w:rPr>
        <w:t xml:space="preserve"> from the validation </w:t>
      </w:r>
      <w:r>
        <w:rPr>
          <w:sz w:val="18"/>
          <w:szCs w:val="20"/>
          <w:lang w:val="en-US"/>
        </w:rPr>
        <w:t>cohort</w:t>
      </w:r>
      <w:r w:rsidRPr="009572DC">
        <w:rPr>
          <w:sz w:val="18"/>
          <w:szCs w:val="20"/>
          <w:lang w:val="en-US"/>
        </w:rPr>
        <w:t xml:space="preserve"> with </w:t>
      </w:r>
      <w:r>
        <w:rPr>
          <w:sz w:val="18"/>
          <w:szCs w:val="20"/>
          <w:lang w:val="en-US"/>
        </w:rPr>
        <w:t>sequential organ failure assessment</w:t>
      </w:r>
      <w:r w:rsidRPr="009572DC">
        <w:rPr>
          <w:sz w:val="18"/>
          <w:szCs w:val="20"/>
          <w:lang w:val="en-US"/>
        </w:rPr>
        <w:t xml:space="preserve"> score available; </w:t>
      </w:r>
      <w:proofErr w:type="spellStart"/>
      <w:r>
        <w:rPr>
          <w:sz w:val="18"/>
          <w:szCs w:val="20"/>
          <w:vertAlign w:val="superscript"/>
          <w:lang w:val="en-US"/>
        </w:rPr>
        <w:t>c</w:t>
      </w:r>
      <w:r>
        <w:rPr>
          <w:sz w:val="18"/>
          <w:szCs w:val="20"/>
          <w:lang w:val="en-US"/>
        </w:rPr>
        <w:t>S</w:t>
      </w:r>
      <w:r w:rsidRPr="009572DC">
        <w:rPr>
          <w:sz w:val="18"/>
          <w:szCs w:val="20"/>
          <w:lang w:val="en-US"/>
        </w:rPr>
        <w:t>ubset</w:t>
      </w:r>
      <w:proofErr w:type="spellEnd"/>
      <w:r w:rsidRPr="009572DC">
        <w:rPr>
          <w:sz w:val="18"/>
          <w:szCs w:val="20"/>
          <w:lang w:val="en-US"/>
        </w:rPr>
        <w:t xml:space="preserve"> from the validation </w:t>
      </w:r>
      <w:r>
        <w:rPr>
          <w:sz w:val="18"/>
          <w:szCs w:val="20"/>
          <w:lang w:val="en-US"/>
        </w:rPr>
        <w:t>cohort with trauma related diagnosis on</w:t>
      </w:r>
      <w:r w:rsidRPr="009572DC">
        <w:rPr>
          <w:sz w:val="18"/>
          <w:szCs w:val="20"/>
          <w:lang w:val="en-US"/>
        </w:rPr>
        <w:t xml:space="preserve"> admission</w:t>
      </w:r>
      <w:r w:rsidR="000C4EB4">
        <w:rPr>
          <w:sz w:val="18"/>
          <w:szCs w:val="20"/>
          <w:lang w:val="en-US"/>
        </w:rPr>
        <w:t xml:space="preserve">; </w:t>
      </w:r>
      <w:proofErr w:type="spellStart"/>
      <w:r w:rsidR="000C4EB4">
        <w:rPr>
          <w:sz w:val="18"/>
          <w:szCs w:val="20"/>
          <w:vertAlign w:val="superscript"/>
          <w:lang w:val="en-US"/>
        </w:rPr>
        <w:t>d</w:t>
      </w:r>
      <w:r w:rsidR="000C4EB4">
        <w:rPr>
          <w:sz w:val="18"/>
          <w:szCs w:val="20"/>
          <w:lang w:val="en-US"/>
        </w:rPr>
        <w:t>Threshold</w:t>
      </w:r>
      <w:proofErr w:type="spellEnd"/>
      <w:r w:rsidR="000C4EB4">
        <w:rPr>
          <w:sz w:val="18"/>
          <w:szCs w:val="20"/>
          <w:lang w:val="en-US"/>
        </w:rPr>
        <w:t xml:space="preserve"> probability defined in the internal validation set based on the </w:t>
      </w:r>
      <w:proofErr w:type="spellStart"/>
      <w:r w:rsidR="000C4EB4">
        <w:rPr>
          <w:sz w:val="18"/>
          <w:szCs w:val="20"/>
          <w:lang w:val="en-US"/>
        </w:rPr>
        <w:t>Youden</w:t>
      </w:r>
      <w:proofErr w:type="spellEnd"/>
      <w:r w:rsidR="000C4EB4">
        <w:rPr>
          <w:sz w:val="18"/>
          <w:szCs w:val="20"/>
          <w:lang w:val="en-US"/>
        </w:rPr>
        <w:t xml:space="preserve"> index (i.e. maximized sensitivity and specificity); </w:t>
      </w:r>
      <w:proofErr w:type="spellStart"/>
      <w:r w:rsidR="000C4EB4">
        <w:rPr>
          <w:sz w:val="18"/>
          <w:szCs w:val="20"/>
          <w:vertAlign w:val="superscript"/>
          <w:lang w:val="en-US"/>
        </w:rPr>
        <w:t>e</w:t>
      </w:r>
      <w:r w:rsidR="000C4EB4" w:rsidRPr="000C4EB4">
        <w:rPr>
          <w:sz w:val="18"/>
          <w:szCs w:val="20"/>
          <w:lang w:val="en-US"/>
        </w:rPr>
        <w:t>a</w:t>
      </w:r>
      <w:proofErr w:type="spellEnd"/>
      <w:r w:rsidR="000C4EB4" w:rsidRPr="000C4EB4">
        <w:rPr>
          <w:sz w:val="18"/>
          <w:szCs w:val="20"/>
          <w:lang w:val="en-US"/>
        </w:rPr>
        <w:t xml:space="preserve"> cutoff of 7 or higher was considered as a positive prediction for ARC</w:t>
      </w:r>
      <w:r w:rsidR="000C4EB4">
        <w:rPr>
          <w:sz w:val="18"/>
          <w:szCs w:val="20"/>
          <w:lang w:val="en-US"/>
        </w:rPr>
        <w:t xml:space="preserve">; </w:t>
      </w:r>
      <w:r w:rsidR="000C4EB4">
        <w:rPr>
          <w:sz w:val="18"/>
          <w:szCs w:val="20"/>
          <w:vertAlign w:val="superscript"/>
          <w:lang w:val="en-US"/>
        </w:rPr>
        <w:t>f</w:t>
      </w:r>
      <w:r w:rsidR="000C4EB4" w:rsidRPr="000C4EB4">
        <w:rPr>
          <w:sz w:val="18"/>
          <w:szCs w:val="20"/>
          <w:lang w:val="en-US"/>
        </w:rPr>
        <w:t>a cutoff of 6 or higher was considered as a positive prediction for ARC</w:t>
      </w:r>
    </w:p>
    <w:p w:rsidR="002E02D2" w:rsidRDefault="002E02D2" w:rsidP="002E02D2">
      <w:pPr>
        <w:spacing w:after="0" w:line="240" w:lineRule="auto"/>
        <w:jc w:val="both"/>
        <w:rPr>
          <w:sz w:val="18"/>
          <w:szCs w:val="20"/>
          <w:vertAlign w:val="superscript"/>
          <w:lang w:val="en-US"/>
        </w:rPr>
      </w:pPr>
      <w:r w:rsidRPr="009572DC">
        <w:rPr>
          <w:sz w:val="18"/>
          <w:szCs w:val="20"/>
          <w:lang w:val="en-US"/>
        </w:rPr>
        <w:t xml:space="preserve">N = </w:t>
      </w:r>
      <w:r>
        <w:rPr>
          <w:sz w:val="18"/>
          <w:szCs w:val="20"/>
          <w:lang w:val="en-US"/>
        </w:rPr>
        <w:t>number of ICU days</w:t>
      </w:r>
      <w:r w:rsidRPr="009572DC">
        <w:rPr>
          <w:sz w:val="18"/>
          <w:szCs w:val="20"/>
          <w:lang w:val="en-US"/>
        </w:rPr>
        <w:t>; AUROC = area under the receiver-operating characteristics curve</w:t>
      </w:r>
    </w:p>
    <w:p w:rsidR="00712983" w:rsidRPr="002E02D2" w:rsidRDefault="00712983">
      <w:pPr>
        <w:rPr>
          <w:lang w:val="en-US"/>
        </w:rPr>
      </w:pPr>
    </w:p>
    <w:sectPr w:rsidR="00712983" w:rsidRPr="002E02D2" w:rsidSect="002E02D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00000000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02D2"/>
    <w:rsid w:val="000C4EB4"/>
    <w:rsid w:val="002E02D2"/>
    <w:rsid w:val="00712983"/>
    <w:rsid w:val="00E753EE"/>
    <w:rsid w:val="00F60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5FC15"/>
  <w15:chartTrackingRefBased/>
  <w15:docId w15:val="{17067F50-1A83-48ED-BBED-67D1D2577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2E02D2"/>
    <w:rPr>
      <w:rFonts w:eastAsia="PMingLiU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Lijsttabel6kleurrijk">
    <w:name w:val="List Table 6 Colorful"/>
    <w:basedOn w:val="Standaardtabel"/>
    <w:uiPriority w:val="51"/>
    <w:rsid w:val="002E02D2"/>
    <w:pPr>
      <w:spacing w:after="0" w:line="240" w:lineRule="auto"/>
    </w:pPr>
    <w:rPr>
      <w:rFonts w:eastAsia="PMingLiU"/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3CFBC7CB</Template>
  <TotalTime>7</TotalTime>
  <Pages>1</Pages>
  <Words>592</Words>
  <Characters>3262</Characters>
  <Application>Microsoft Office Word</Application>
  <DocSecurity>0</DocSecurity>
  <Lines>27</Lines>
  <Paragraphs>7</Paragraphs>
  <ScaleCrop>false</ScaleCrop>
  <Company>UZ Leuven</Company>
  <LinksUpToDate>false</LinksUpToDate>
  <CharactersWithSpaces>3847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Gijsen</dc:creator>
  <cp:keywords/>
  <dc:description/>
  <cp:lastModifiedBy>Matthias Gijsen</cp:lastModifiedBy>
  <cp:revision>4</cp:revision>
  <dcterms:created xsi:type="dcterms:W3CDTF">2020-01-23T10:10:00Z</dcterms:created>
  <dcterms:modified xsi:type="dcterms:W3CDTF">2020-02-06T09:11:00Z</dcterms:modified>
</cp:coreProperties>
</file>